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4E8" w:rsidRDefault="001424E8"/>
    <w:p w:rsidR="00D96E6C" w:rsidRDefault="00D96E6C" w:rsidP="00D96E6C">
      <w:pPr>
        <w:spacing w:line="240" w:lineRule="atLeas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Table 1. </w:t>
      </w:r>
      <w:r>
        <w:rPr>
          <w:rFonts w:ascii="Times New Roman" w:eastAsia="Times New Roman" w:hAnsi="Times New Roman" w:cs="Times New Roman"/>
          <w:sz w:val="18"/>
          <w:szCs w:val="18"/>
        </w:rPr>
        <w:t>Healthcare, Pharmaceutical and Food Work E</w:t>
      </w:r>
      <w:r>
        <w:rPr>
          <w:rFonts w:ascii="Times New Roman" w:hAnsi="Times New Roman" w:cs="Times New Roman"/>
          <w:sz w:val="18"/>
          <w:szCs w:val="18"/>
        </w:rPr>
        <w:t>nvironments</w:t>
      </w:r>
    </w:p>
    <w:tbl>
      <w:tblPr>
        <w:tblW w:w="0" w:type="auto"/>
        <w:jc w:val="center"/>
        <w:tblBorders>
          <w:top w:val="single" w:sz="12" w:space="0" w:color="000001"/>
          <w:left w:val="nil"/>
          <w:bottom w:val="single" w:sz="6" w:space="0" w:color="000001"/>
          <w:right w:val="nil"/>
          <w:insideH w:val="single" w:sz="6" w:space="0" w:color="000001"/>
          <w:insideV w:val="nil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9"/>
        <w:gridCol w:w="2311"/>
        <w:gridCol w:w="2249"/>
        <w:gridCol w:w="2891"/>
        <w:gridCol w:w="1033"/>
      </w:tblGrid>
      <w:tr w:rsidR="00D96E6C" w:rsidTr="00AC77C2">
        <w:trPr>
          <w:cantSplit/>
          <w:trHeight w:val="401"/>
          <w:jc w:val="center"/>
        </w:trPr>
        <w:tc>
          <w:tcPr>
            <w:tcW w:w="1709" w:type="dxa"/>
            <w:tcBorders>
              <w:top w:val="single" w:sz="12" w:space="0" w:color="000001"/>
              <w:left w:val="nil"/>
              <w:bottom w:val="single" w:sz="6" w:space="0" w:color="000001"/>
              <w:right w:val="nil"/>
            </w:tcBorders>
            <w:shd w:val="clear" w:color="auto" w:fill="FFFFFF"/>
          </w:tcPr>
          <w:p w:rsidR="00D96E6C" w:rsidRDefault="00D96E6C" w:rsidP="00AC77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1" w:type="dxa"/>
            <w:tcBorders>
              <w:top w:val="single" w:sz="12" w:space="0" w:color="000001"/>
              <w:left w:val="nil"/>
              <w:bottom w:val="single" w:sz="6" w:space="0" w:color="000001"/>
              <w:right w:val="nil"/>
            </w:tcBorders>
            <w:shd w:val="clear" w:color="auto" w:fill="FFFFFF"/>
          </w:tcPr>
          <w:p w:rsidR="00D96E6C" w:rsidRDefault="00D96E6C" w:rsidP="00AC77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Sampling technique (microbiological parameter)</w:t>
            </w:r>
          </w:p>
        </w:tc>
        <w:tc>
          <w:tcPr>
            <w:tcW w:w="2249" w:type="dxa"/>
            <w:tcBorders>
              <w:top w:val="single" w:sz="12" w:space="0" w:color="000001"/>
              <w:left w:val="nil"/>
              <w:bottom w:val="single" w:sz="6" w:space="0" w:color="000001"/>
              <w:right w:val="nil"/>
            </w:tcBorders>
            <w:shd w:val="clear" w:color="auto" w:fill="FFFFFF"/>
          </w:tcPr>
          <w:p w:rsidR="00D96E6C" w:rsidRDefault="00D96E6C" w:rsidP="00AC77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Benchmark Guidance Value</w:t>
            </w:r>
          </w:p>
        </w:tc>
        <w:tc>
          <w:tcPr>
            <w:tcW w:w="2891" w:type="dxa"/>
            <w:tcBorders>
              <w:top w:val="single" w:sz="12" w:space="0" w:color="000001"/>
              <w:left w:val="nil"/>
              <w:bottom w:val="single" w:sz="6" w:space="0" w:color="000001"/>
              <w:right w:val="nil"/>
            </w:tcBorders>
            <w:shd w:val="clear" w:color="auto" w:fill="FFFFFF"/>
          </w:tcPr>
          <w:p w:rsidR="00D96E6C" w:rsidRDefault="00D96E6C" w:rsidP="00AC77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Microbiological indicator</w:t>
            </w:r>
          </w:p>
        </w:tc>
        <w:tc>
          <w:tcPr>
            <w:tcW w:w="1033" w:type="dxa"/>
            <w:tcBorders>
              <w:top w:val="single" w:sz="12" w:space="0" w:color="000001"/>
              <w:left w:val="nil"/>
              <w:bottom w:val="single" w:sz="6" w:space="0" w:color="000001"/>
              <w:right w:val="nil"/>
            </w:tcBorders>
            <w:shd w:val="clear" w:color="auto" w:fill="FFFFFF"/>
          </w:tcPr>
          <w:p w:rsidR="00D96E6C" w:rsidRDefault="00D96E6C" w:rsidP="00AC77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References</w:t>
            </w:r>
          </w:p>
        </w:tc>
      </w:tr>
      <w:tr w:rsidR="00D96E6C" w:rsidTr="00AC77C2">
        <w:trPr>
          <w:cantSplit/>
          <w:trHeight w:val="284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Hospitals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Dipslide (ACC 30°C/48h)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≤ 2,5 CFU/cm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Staphylococcus aureus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MRSA; MSSA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[64]</w:t>
            </w:r>
          </w:p>
        </w:tc>
      </w:tr>
      <w:tr w:rsidR="00D96E6C" w:rsidTr="00AC77C2">
        <w:trPr>
          <w:cantSplit/>
          <w:trHeight w:val="284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Contact plates (ACC 37°C/48h)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≤ 2,5 CFU/cm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[65]</w:t>
            </w:r>
          </w:p>
        </w:tc>
      </w:tr>
      <w:tr w:rsidR="00D96E6C" w:rsidTr="00AC77C2">
        <w:trPr>
          <w:cantSplit/>
          <w:trHeight w:val="284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ACC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 5 CFU/cm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i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it-IT"/>
              </w:rPr>
              <w:t>Staphylococcus aureus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; MRSA;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it-IT"/>
              </w:rPr>
              <w:t>Clostridium difficile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,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it-IT"/>
              </w:rPr>
              <w:t xml:space="preserve"> Salmonella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;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it-IT"/>
              </w:rPr>
              <w:t>Aspergillus</w:t>
            </w:r>
          </w:p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Vancomycin-resistant enterococci</w:t>
            </w:r>
          </w:p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[66]</w:t>
            </w:r>
          </w:p>
        </w:tc>
      </w:tr>
      <w:tr w:rsidR="00D96E6C" w:rsidTr="00AC77C2">
        <w:trPr>
          <w:cantSplit/>
          <w:trHeight w:val="284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ATP-bioluminescence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 100 RLU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[65, 64]</w:t>
            </w:r>
          </w:p>
        </w:tc>
      </w:tr>
      <w:tr w:rsidR="00D96E6C" w:rsidTr="00AC77C2">
        <w:trPr>
          <w:cantSplit/>
          <w:trHeight w:val="284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ATP-bioluminescence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 250 RLU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Staphylococcus aureus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MRSA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[56]</w:t>
            </w:r>
          </w:p>
        </w:tc>
      </w:tr>
      <w:tr w:rsidR="00D96E6C" w:rsidTr="00AC77C2">
        <w:trPr>
          <w:cantSplit/>
          <w:trHeight w:val="284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Contact plates (TBC)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From ≤ 5 CFU/plate (operating room and other critical environment) to ≤ 50 CFU/plate (ICU-Intensive Care Unit, neonatology)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Staphylococcus aureus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Aspergillus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spp.;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Pseudomonas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spp.;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Enterobacteria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[31]</w:t>
            </w:r>
          </w:p>
        </w:tc>
      </w:tr>
      <w:tr w:rsidR="00D96E6C" w:rsidTr="00AC77C2">
        <w:trPr>
          <w:cantSplit/>
          <w:trHeight w:val="284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Contact plates (TBC 37°C)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 risk area (office) &lt; 5 CFU/cm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Medium risk area (waiting room, lifts, counselling etc.) &lt; 2 CFU/cm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and very high risk area (ICU, operating room, neonatology, emergency, etc.) &lt; 0,2 CFU/cm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Aspergillus fumigatus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[37]</w:t>
            </w:r>
          </w:p>
        </w:tc>
      </w:tr>
      <w:tr w:rsidR="00D96E6C" w:rsidTr="00AC77C2">
        <w:trPr>
          <w:cantSplit/>
          <w:trHeight w:val="284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Swabs (ACC 37°C/48h)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 2,5 CFU/cm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[56]</w:t>
            </w:r>
          </w:p>
        </w:tc>
      </w:tr>
      <w:tr w:rsidR="00D96E6C" w:rsidTr="00AC77C2">
        <w:trPr>
          <w:cantSplit/>
          <w:trHeight w:val="284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Swabs (ACC 48h)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 2,5 CFU/cm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it-IT"/>
              </w:rPr>
              <w:t>S. aureus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;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it-IT"/>
              </w:rPr>
              <w:t>E. coli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;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it-IT"/>
              </w:rPr>
              <w:t>P. aeruginosa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; </w:t>
            </w:r>
          </w:p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A. baumannii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[67]</w:t>
            </w:r>
          </w:p>
        </w:tc>
      </w:tr>
      <w:tr w:rsidR="00D96E6C" w:rsidTr="00AC77C2">
        <w:trPr>
          <w:cantSplit/>
          <w:trHeight w:val="284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Ambulances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Swabs (TBC 37°C/48h)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 5 CFU/cm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[68]</w:t>
            </w:r>
          </w:p>
        </w:tc>
      </w:tr>
      <w:tr w:rsidR="00D96E6C" w:rsidTr="00AC77C2">
        <w:trPr>
          <w:cantSplit/>
          <w:trHeight w:val="284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Surgery practices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Swabs (TBC 37°C/72h; Total Fungal Count: TFC 28°C/72h)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CFU/cm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(acceptable) </w:t>
            </w:r>
          </w:p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1-5 CFU/cm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(doubtful) </w:t>
            </w:r>
          </w:p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&gt; 5 CFU/cm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(not acceptable)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Enterobacteria;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P. aeruginosa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[69]</w:t>
            </w:r>
          </w:p>
        </w:tc>
      </w:tr>
      <w:tr w:rsidR="00D96E6C" w:rsidTr="00AC77C2">
        <w:trPr>
          <w:cantSplit/>
          <w:trHeight w:val="284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Dental practices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Contact plates (TBC 36°C/48h)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≤ 0,64 CFU/cm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(acceptable) </w:t>
            </w:r>
          </w:p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1,48 CFU/cm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(alert)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[70]</w:t>
            </w:r>
          </w:p>
        </w:tc>
      </w:tr>
      <w:tr w:rsidR="00D96E6C" w:rsidTr="00AC77C2">
        <w:trPr>
          <w:cantSplit/>
          <w:trHeight w:val="284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Swabs (TBC 36°C/48h)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≤ 1 CFU/cm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[71]</w:t>
            </w:r>
          </w:p>
        </w:tc>
      </w:tr>
      <w:tr w:rsidR="00D96E6C" w:rsidTr="00AC77C2">
        <w:trPr>
          <w:cantSplit/>
          <w:trHeight w:val="284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jc w:val="both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Pharmaceutical Clean rooms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RODAC plates </w:t>
            </w:r>
          </w:p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(TBC 30-35°C/48h, than 20-25°C/72h 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Class A1: &lt; 1 CFU/plate (walls and benches)       </w:t>
            </w:r>
          </w:p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Class B1 and B2: &lt; 5 CFU/plate (walls); &lt; 10 CFU/plate (benches)   Class C: &lt; 25 CFU/plate (walls); &lt; 50 CFU/plate (floor) Class D1 and D2: &lt; 50 CFU/plate (floor and walls)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Staphylococcus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spp.;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Micrococcus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spp.;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Bacillus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spp.;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Candida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spp.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[36]</w:t>
            </w:r>
          </w:p>
        </w:tc>
      </w:tr>
      <w:tr w:rsidR="00D96E6C" w:rsidTr="00AC77C2">
        <w:trPr>
          <w:cantSplit/>
          <w:trHeight w:val="284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Swabs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Class A2: &lt; 1 CFU/swab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96E6C" w:rsidTr="00AC77C2">
        <w:trPr>
          <w:cantSplit/>
          <w:trHeight w:val="284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Contact plates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Surfaces: from &lt; 1 CFU/plate (sterility level A) to &lt; 50 CFU/plate (sterility level D)      </w:t>
            </w:r>
          </w:p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Gloves: from &lt; 1 CFU/glove (zone A) to &lt; 5 CFU/glove (zone B)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[30]</w:t>
            </w:r>
          </w:p>
        </w:tc>
      </w:tr>
      <w:tr w:rsidR="00D96E6C" w:rsidTr="00AC77C2">
        <w:trPr>
          <w:cantSplit/>
          <w:trHeight w:val="727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lastRenderedPageBreak/>
              <w:t>Pharmaceuticals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Contact plates (TBC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37°C/24h, than RT/48h)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From &lt; 0,2 CFU/cm2 (clean rooms) to &lt; 5 CFU/cm2 (offices, stairs, etc.)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Staphylococcus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spp.;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Micrococcus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spp.;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Bacillus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spp.;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Candida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spp.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[37]</w:t>
            </w:r>
          </w:p>
        </w:tc>
      </w:tr>
      <w:tr w:rsidR="00D96E6C" w:rsidTr="00AC77C2">
        <w:trPr>
          <w:cantSplit/>
          <w:trHeight w:val="284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Food preparation areas (surfaces and tools)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Contact plates (25,8 cm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20-25°C/48h)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 150 CFU/plate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it-IT"/>
              </w:rPr>
              <w:t>Pseudomonas fluorescens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;</w:t>
            </w:r>
          </w:p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i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it-IT"/>
              </w:rPr>
              <w:t>Escherichia coli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;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it-IT"/>
              </w:rPr>
              <w:t>S. aureus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[72]</w:t>
            </w:r>
          </w:p>
        </w:tc>
      </w:tr>
      <w:tr w:rsidR="00D96E6C" w:rsidTr="00AC77C2">
        <w:trPr>
          <w:cantSplit/>
          <w:trHeight w:val="284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it-IT"/>
              </w:rPr>
              <w:t>Contact plates (TBC)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≤ 10 CFU/cm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 </w:t>
            </w:r>
          </w:p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(after sanitization)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it-IT"/>
              </w:rPr>
              <w:t xml:space="preserve">Salmonella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spp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it-IT"/>
              </w:rPr>
              <w:t>.; Listeria monocytogenes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; </w:t>
            </w:r>
          </w:p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Total coliforms ≤ 1 CFU/cm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[73, 74]</w:t>
            </w:r>
          </w:p>
        </w:tc>
      </w:tr>
      <w:tr w:rsidR="00D96E6C" w:rsidTr="00AC77C2">
        <w:trPr>
          <w:cantSplit/>
          <w:trHeight w:val="284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Contact plates (TBC)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Satisfactory sanitization:</w:t>
            </w:r>
          </w:p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TBC ≤ 10 CFU/cm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Total coliforms ≤ 1 CFU/cm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Absence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Salmonella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</w:p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Listeria monocytogenes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[75]</w:t>
            </w:r>
          </w:p>
        </w:tc>
      </w:tr>
      <w:tr w:rsidR="00D96E6C" w:rsidTr="00AC77C2">
        <w:trPr>
          <w:cantSplit/>
          <w:trHeight w:val="284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Contact plates (TBC 30°C/48h; TFC 25°C/120h)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 ≤ CFU/plate ≤ 2 (very good)        </w:t>
            </w:r>
          </w:p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≤ CFU/plate ≤ 9 (good)</w:t>
            </w:r>
          </w:p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≤ CFU/plate ≤ 29</w:t>
            </w:r>
          </w:p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(satisfactory)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Coliforms;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S. aureus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[36, 76]</w:t>
            </w:r>
          </w:p>
        </w:tc>
      </w:tr>
      <w:tr w:rsidR="00D96E6C" w:rsidTr="00AC77C2">
        <w:trPr>
          <w:cantSplit/>
          <w:trHeight w:val="284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Swabs (TBC)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≤ CFU/100 cm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≤ 8 </w:t>
            </w:r>
          </w:p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(very good)         </w:t>
            </w:r>
          </w:p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≤ CFU/100 cm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≤ 36</w:t>
            </w:r>
          </w:p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(good)       </w:t>
            </w:r>
          </w:p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 ≤ CFU/100 cm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≤ 116</w:t>
            </w:r>
          </w:p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(satisfactory)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Coliforms;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S. aureus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[36, 76]</w:t>
            </w:r>
          </w:p>
        </w:tc>
      </w:tr>
      <w:tr w:rsidR="00D96E6C" w:rsidTr="00AC77C2">
        <w:trPr>
          <w:cantSplit/>
          <w:trHeight w:val="284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Catering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Contact plates (TBC)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≤ 4 CFU/cm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Total microorganisms, coliforms,</w:t>
            </w:r>
          </w:p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S. aureus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E. coli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Salmonella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spp. and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Listeria monocytogenes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[77]</w:t>
            </w:r>
          </w:p>
        </w:tc>
      </w:tr>
      <w:tr w:rsidR="00D96E6C" w:rsidTr="00AC77C2">
        <w:trPr>
          <w:cantSplit/>
          <w:trHeight w:val="284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Restaurants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ATP-bioluminescence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 RLU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Escherichia coli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[78]</w:t>
            </w:r>
          </w:p>
        </w:tc>
      </w:tr>
      <w:tr w:rsidR="00D96E6C" w:rsidTr="00AC77C2">
        <w:trPr>
          <w:cantSplit/>
          <w:trHeight w:val="284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Swabs (TBC 30°C/24-48h)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 CFU/cm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6E6C" w:rsidTr="00AC77C2">
        <w:trPr>
          <w:cantSplit/>
          <w:trHeight w:val="284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Butcheries and supermarkets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Contact plates (TBC)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≤ 4 CFU/cm2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Total coliforms &lt; 1 CFU/cm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E. coli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[79]</w:t>
            </w:r>
          </w:p>
        </w:tc>
      </w:tr>
      <w:tr w:rsidR="00D96E6C" w:rsidTr="00AC77C2">
        <w:trPr>
          <w:cantSplit/>
          <w:trHeight w:val="284"/>
          <w:jc w:val="center"/>
        </w:trPr>
        <w:tc>
          <w:tcPr>
            <w:tcW w:w="170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Area</w:t>
            </w:r>
          </w:p>
          <w:p w:rsidR="00D96E6C" w:rsidRDefault="00D96E6C" w:rsidP="00AC77C2">
            <w:pPr>
              <w:spacing w:line="240" w:lineRule="atLeast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microbiologically</w:t>
            </w:r>
          </w:p>
          <w:p w:rsidR="00D96E6C" w:rsidRDefault="00D96E6C" w:rsidP="00AC77C2">
            <w:pPr>
              <w:spacing w:line="240" w:lineRule="atLeast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checked</w:t>
            </w:r>
          </w:p>
          <w:p w:rsidR="00D96E6C" w:rsidRDefault="00D96E6C" w:rsidP="00AC77C2">
            <w:pPr>
              <w:spacing w:line="240" w:lineRule="atLeast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(cooked dishes)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Contact plates </w:t>
            </w:r>
          </w:p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(TBC 37°C/24h</w:t>
            </w:r>
          </w:p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and room </w:t>
            </w:r>
          </w:p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temperature/48h)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Area 1 &lt; 5 CFU/cm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Area 2 &lt; 2 CFU/cm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Area 3 &lt; 0,2 CFU/cm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Area 4 &lt; 0,2 CFU/cm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Coliforms and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E.coli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D96E6C" w:rsidRDefault="00D96E6C" w:rsidP="00AC77C2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[37]</w:t>
            </w:r>
          </w:p>
        </w:tc>
      </w:tr>
    </w:tbl>
    <w:p w:rsidR="00D96E6C" w:rsidRDefault="00D96E6C" w:rsidP="00D96E6C">
      <w:pPr>
        <w:pStyle w:val="Paragrafoelenco"/>
        <w:spacing w:after="0" w:line="240" w:lineRule="atLeast"/>
        <w:ind w:left="0"/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t>Legends - TBC: Total Bacterial Count; ACC: Aerobic Colony Count; RLU: Relative Light Units</w:t>
      </w:r>
    </w:p>
    <w:p w:rsidR="00D96E6C" w:rsidRDefault="00D96E6C"/>
    <w:sectPr w:rsidR="00D96E6C" w:rsidSect="0056253D">
      <w:pgSz w:w="11900" w:h="16840"/>
      <w:pgMar w:top="1077" w:right="1021" w:bottom="107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E6C"/>
    <w:rsid w:val="000F5055"/>
    <w:rsid w:val="001424E8"/>
    <w:rsid w:val="001B4BC9"/>
    <w:rsid w:val="0056253D"/>
    <w:rsid w:val="00D9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rsid w:val="00D96E6C"/>
    <w:pPr>
      <w:suppressAutoHyphens/>
      <w:spacing w:after="160" w:line="252" w:lineRule="auto"/>
      <w:ind w:left="720"/>
      <w:contextualSpacing/>
    </w:pPr>
    <w:rPr>
      <w:rFonts w:ascii="Calibri" w:eastAsia="SimSun" w:hAnsi="Calibri" w:cs="Calibri"/>
      <w:color w:val="00000A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rsid w:val="00D96E6C"/>
    <w:pPr>
      <w:suppressAutoHyphens/>
      <w:spacing w:after="160" w:line="252" w:lineRule="auto"/>
      <w:ind w:left="720"/>
      <w:contextualSpacing/>
    </w:pPr>
    <w:rPr>
      <w:rFonts w:ascii="Calibri" w:eastAsia="SimSun" w:hAnsi="Calibri" w:cs="Calibri"/>
      <w:color w:val="00000A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562</Words>
  <Characters>3209</Characters>
  <Application>Microsoft Macintosh Word</Application>
  <DocSecurity>0</DocSecurity>
  <Lines>26</Lines>
  <Paragraphs>7</Paragraphs>
  <ScaleCrop>false</ScaleCrop>
  <Company/>
  <LinksUpToDate>false</LinksUpToDate>
  <CharactersWithSpaces>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1</cp:revision>
  <dcterms:created xsi:type="dcterms:W3CDTF">2018-02-28T12:36:00Z</dcterms:created>
  <dcterms:modified xsi:type="dcterms:W3CDTF">2018-02-28T12:37:00Z</dcterms:modified>
</cp:coreProperties>
</file>